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LOGO PERGURUAN TINGGI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RENCANA PENGGUNAAN DANA TAHAP I (70%)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i w:val="1"/>
          <w:i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PENDANAAN PROGRAM PENDANAAN RISET INDONESIA BANGKIT KEMENTERIAN AGAMA </w:t>
      </w:r>
      <w:r w:rsidDel="00000000" w:rsidR="00000000" w:rsidRPr="00000000">
        <w:rPr>
          <w:rFonts w:ascii="Arial" w:cs="Arial" w:eastAsia="Arial" w:hAnsi="Arial"/>
          <w:i w:val="1"/>
          <w:iCs w:val="1"/>
          <w:sz w:val="21"/>
          <w:szCs w:val="21"/>
          <w:rtl w:val="0"/>
        </w:rPr>
        <w:t xml:space="preserve">(MINISTRY OF RELIGIOUS AFFAIRS - THE AWAKENED INDONESIA RESEARCH FUNDS PROGRAM)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Judul Riset</w:t>
        <w:tab/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Ketua Periset</w:t>
        <w:tab/>
        <w:t xml:space="preserve">:</w:t>
      </w:r>
    </w:p>
    <w:p w:rsidR="00000000" w:rsidDel="00000000" w:rsidP="00000000" w:rsidRDefault="00000000" w:rsidRPr="00000000" w14:paraId="0000000A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Asal Institusi</w:t>
        <w:tab/>
        <w:t xml:space="preserve">:</w:t>
      </w:r>
    </w:p>
    <w:p w:rsidR="00000000" w:rsidDel="00000000" w:rsidP="00000000" w:rsidRDefault="00000000" w:rsidRPr="00000000" w14:paraId="0000000B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Nomor Surat Lanjutan</w:t>
        <w:tab/>
        <w:t xml:space="preserve">:</w:t>
      </w:r>
    </w:p>
    <w:p w:rsidR="00000000" w:rsidDel="00000000" w:rsidP="00000000" w:rsidRDefault="00000000" w:rsidRPr="00000000" w14:paraId="0000000C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1984"/>
        <w:gridCol w:w="1276"/>
        <w:gridCol w:w="2127"/>
        <w:gridCol w:w="1416"/>
        <w:tblGridChange w:id="0">
          <w:tblGrid>
            <w:gridCol w:w="2552"/>
            <w:gridCol w:w="1984"/>
            <w:gridCol w:w="1276"/>
            <w:gridCol w:w="2127"/>
            <w:gridCol w:w="1416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Komponen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Besaran Pendanaan (Sesuai Kontrak)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Presentase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Rencana Penggunaan Tahap I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Biaya Langsung Personil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Biaya Langsung Non – Personil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Biaya Tidak Langsung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2268" w:hanging="2268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2268" w:hanging="2268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Nama Kota,   April 2026</w:t>
      </w:r>
    </w:p>
    <w:p w:rsidR="00000000" w:rsidDel="00000000" w:rsidP="00000000" w:rsidRDefault="00000000" w:rsidRPr="00000000" w14:paraId="00000029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Ketua Tim Riset</w:t>
        <w:tab/>
        <w:t xml:space="preserve">Kepala LPPM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yellow"/>
          <w:rtl w:val="0"/>
        </w:rPr>
        <w:t xml:space="preserve">Nama Perguruan Tinggi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TTD</w:t>
        <w:tab/>
        <w:t xml:space="preserve">TTD dan Stampel LPPM</w:t>
      </w:r>
    </w:p>
    <w:p w:rsidR="00000000" w:rsidDel="00000000" w:rsidP="00000000" w:rsidRDefault="00000000" w:rsidRPr="00000000" w14:paraId="0000002C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Nama</w:t>
        <w:tab/>
        <w:t xml:space="preserve">Nama </w:t>
      </w:r>
    </w:p>
    <w:p w:rsidR="00000000" w:rsidDel="00000000" w:rsidP="00000000" w:rsidRDefault="00000000" w:rsidRPr="00000000" w14:paraId="0000002F">
      <w:pPr>
        <w:tabs>
          <w:tab w:val="left" w:leader="none" w:pos="5670"/>
        </w:tabs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NIP</w:t>
        <w:tab/>
        <w:t xml:space="preserve">NIP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SDsNtV4nejSiM9SchumPEYKtg==">CgMxLjA4AHIhMW5ITV93ME1ua1V3SUlOZkwtY3lqckhnM3pFTnR5RUo0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